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411" w:rsidRPr="00787BF1" w:rsidRDefault="007F6411" w:rsidP="007F6411">
      <w:pPr>
        <w:pStyle w:val="Heading2"/>
      </w:pPr>
      <w:bookmarkStart w:id="0" w:name="_Toc155342866"/>
      <w:bookmarkStart w:id="1" w:name="_GoBack"/>
      <w:r w:rsidRPr="00787BF1">
        <w:rPr>
          <w:b/>
          <w:sz w:val="24"/>
        </w:rPr>
        <w:t>188. LUẬT MÔI TRƯỜNG</w:t>
      </w:r>
      <w:bookmarkEnd w:id="1"/>
      <w:r w:rsidRPr="00787BF1">
        <w:rPr>
          <w:lang w:val="sv-SE"/>
        </w:rPr>
        <w:t xml:space="preserve">, </w:t>
      </w:r>
      <w:r w:rsidRPr="00787BF1">
        <w:rPr>
          <w:lang w:eastAsia="vi-VN"/>
        </w:rPr>
        <w:t xml:space="preserve">ngành luật trong hệ thống pháp luật quốc gia, bao gồm tổng thể các quy phạm pháp luật do Nhà nước ban hành hoặc thừa nhận </w:t>
      </w:r>
      <w:r>
        <w:rPr>
          <w:lang w:eastAsia="vi-VN"/>
        </w:rPr>
        <w:t>nhằm</w:t>
      </w:r>
      <w:r w:rsidRPr="00787BF1">
        <w:rPr>
          <w:lang w:eastAsia="vi-VN"/>
        </w:rPr>
        <w:t xml:space="preserve"> điều chỉ</w:t>
      </w:r>
      <w:r>
        <w:rPr>
          <w:lang w:eastAsia="vi-VN"/>
        </w:rPr>
        <w:t>nh những</w:t>
      </w:r>
      <w:r w:rsidRPr="00787BF1">
        <w:t xml:space="preserve"> quan hệ phát sinh trong quá trình duy trì, phục hồi và cải thiện chất lượng môi trường.</w:t>
      </w:r>
      <w:bookmarkEnd w:id="0"/>
    </w:p>
    <w:p w:rsidR="007F6411" w:rsidRPr="00787BF1" w:rsidRDefault="007F6411" w:rsidP="007F6411">
      <w:pPr>
        <w:spacing w:before="120"/>
        <w:ind w:firstLine="284"/>
        <w:jc w:val="both"/>
        <w:rPr>
          <w:szCs w:val="28"/>
        </w:rPr>
      </w:pPr>
      <w:r w:rsidRPr="00787BF1">
        <w:rPr>
          <w:szCs w:val="28"/>
        </w:rPr>
        <w:t xml:space="preserve">Trong hệ thống pháp luật Việt Nam và hệ thống pháp luật của hầu hết các quốc gia trên thế giới, so với các ngành luật khác, Luật Môi trường là ngành luật ra đời muộn hơn. Luật Môi trường điều chỉnh hai nội dung chính. Nội dung thứ nhất là bảo tồn và sử dụng hợp lý các nguồn tài nguyên thiên nhiên (thường được gọi là mảng xanh). Điều chỉnh nội dung này, Luật Môi trường bao gồm các quy phạm pháp luật quy định quyền và trách nhiệm của các chủ thể trong quá trình khai thác, sử dụng, quản lý, phát triển các nguồn tài nguyên thiên nhiên và bảo tồn đa dạng sinh học như: bảo vệ và phát triển tài nguyên rừng, bảo vệ tài nguyên khoáng sản, bảo vệ nguồn nước, bảo vệ nguồn thuỷ sinh… Các quy định pháp luật về nội dung này điều chỉnh các quan hệ xã hội theo hướng đảm bảo tốt nhất quyền và lợi ích hợp pháp của các tổ chức, cá nhân khi khai thác, sử dụng tài nguyên thiên nhiên phục vụ cho các hoạt động phát triển, đồng thời gắn chặt trách nhiệm của họ với việc bảo tồn và sử dụng hợp lý chúng, đảm bảo lợi ích chung lâu dài về môi trường của cộng đồngNội dung thứ hai được Luật Môi trường điều chỉnh là kiểm soát ô nhiễm môi trường (thường được gọi là mảng nâu). Về nội dung này, Luật Môi trường được xây dựng và thực hiện theo hướng ràng buộc trách nhiệm của các cơ quan nhà nước cũng như các tổ chức, cá nhân để giảm thiểu các chất gây ô nhiễm môi trường, phòng ngừa, hạn chế đến mức thấp nhất những tác động xấu cho môi trường và khắc phục, cải thiện chất lượng môi trường. Các quy định pháp luật về lĩnh vực này điều chỉnh các nội dung như: Đánh giá tác động môi trường; quản lý chất thải; bảo vệ môi trường trong các hoạt động giao thông vận tải, xây dựng, sản xuất kinh doanh, dịch vụ… </w:t>
      </w:r>
    </w:p>
    <w:p w:rsidR="007F6411" w:rsidRPr="00787BF1" w:rsidRDefault="007F6411" w:rsidP="007F6411">
      <w:pPr>
        <w:spacing w:before="120"/>
        <w:ind w:firstLine="284"/>
        <w:jc w:val="both"/>
        <w:rPr>
          <w:szCs w:val="28"/>
        </w:rPr>
      </w:pPr>
      <w:r w:rsidRPr="00787BF1">
        <w:rPr>
          <w:szCs w:val="28"/>
        </w:rPr>
        <w:t>Các quan hệ xã hội phát sinh thuộc phạm vi điều chỉnh của Luật Môi trường luôn gắn với việc duy trì, phục hồi và cải thiện môi trường. Nói cách khác, không phải bất kỳ sự tác động nào tới một hoặc nhiều thành tố của môi trường đều làm phát sinh quan hệ pháp luật môi trường. Các quan hệ xã hội mà Luật Môi trường điều chỉnh có thể được phân thành hai nhóm: 1) Các quan hệ giữa một bên là các tổ chức, cá nhân với một bên là Nhà nước phát sinh trong hoạt động quản lý nhà nước về môi trường như quan hệ phát sinh trong hoạt động đánh giá tác động môi trường; các quan hệ phát sinh trong hoạt động thanh tra, kiểm tra việc thực hiện pháp luật môi trường hay xử lý vi phạm pháp luật môi trường; 2) Các quan hệ phát sinh giữa các tổ chức, cá nhân với nhau như các quan hệ trong quá trình cùng chung khai thác, sử dụng các thành phần môi trường, quá trình tiến hành các hoạt động duy trì, cải thiện và phục hồi môi trường hay các quan hệ phát sinh từ việc giải quyết tranh chấp môi trường…</w:t>
      </w:r>
    </w:p>
    <w:p w:rsidR="007F6411" w:rsidRPr="00787BF1" w:rsidRDefault="007F6411" w:rsidP="007F6411">
      <w:pPr>
        <w:widowControl w:val="0"/>
        <w:spacing w:before="120"/>
        <w:ind w:firstLine="284"/>
        <w:jc w:val="both"/>
        <w:rPr>
          <w:szCs w:val="28"/>
        </w:rPr>
      </w:pPr>
      <w:r w:rsidRPr="00787BF1">
        <w:rPr>
          <w:szCs w:val="28"/>
        </w:rPr>
        <w:t xml:space="preserve">Tại Việt Nam, nguồn của Luật Môi trường bao gồm Luật Bảo vệ môi trường và các đạo luật chuyên ngành về bảo vệ các nguồn tài nguyên thiên nhiên như Luật Tài nguyên nước, Luật Khoáng sản, Luật Dầu khí, Luật Lâm nghiệp, Luật Thủy sản, Luật Đa dạng sinh học… và các văn bản dưới luật hướng dẫn thi hành. </w:t>
      </w:r>
      <w:r w:rsidRPr="00787BF1">
        <w:rPr>
          <w:szCs w:val="28"/>
        </w:rPr>
        <w:lastRenderedPageBreak/>
        <w:t>Các nguyên tắc cơ bản để xây dựng và tổ chức thực hiện Luật Môi trường là: 1) Bảo đảm phát triển bền vững; 2) Bảo đảm tính thống nhất trong quản lý môi trường; 3) Bảo đảm các quyền cơ bản của con người trong lĩnh vực môi trường; 4) Coi trọng tính phòng ngừa; 5) Người gây ô nhiễm phải trả tiền.</w:t>
      </w:r>
    </w:p>
    <w:p w:rsidR="007F6411" w:rsidRPr="00787BF1" w:rsidRDefault="007F6411" w:rsidP="007F6411">
      <w:pPr>
        <w:spacing w:before="120"/>
        <w:ind w:firstLine="284"/>
        <w:jc w:val="right"/>
        <w:rPr>
          <w:sz w:val="22"/>
        </w:rPr>
      </w:pPr>
      <w:r w:rsidRPr="00787BF1">
        <w:rPr>
          <w:b/>
          <w:bCs/>
          <w:sz w:val="22"/>
        </w:rPr>
        <w:t>VŨ THỊ DUYÊN THỦY</w:t>
      </w:r>
    </w:p>
    <w:p w:rsidR="007F6411" w:rsidRPr="00787BF1" w:rsidRDefault="007F6411" w:rsidP="007F6411">
      <w:pPr>
        <w:spacing w:before="120"/>
        <w:ind w:firstLine="284"/>
        <w:jc w:val="both"/>
        <w:rPr>
          <w:sz w:val="24"/>
          <w:szCs w:val="24"/>
        </w:rPr>
      </w:pPr>
      <w:r w:rsidRPr="00787BF1">
        <w:rPr>
          <w:b/>
          <w:bCs/>
          <w:sz w:val="24"/>
          <w:szCs w:val="24"/>
        </w:rPr>
        <w:t xml:space="preserve">Tài liệu tham khảo: </w:t>
      </w:r>
    </w:p>
    <w:p w:rsidR="007F6411" w:rsidRPr="00787BF1" w:rsidRDefault="007F6411" w:rsidP="007F6411">
      <w:pPr>
        <w:pStyle w:val="ListParagraph"/>
        <w:numPr>
          <w:ilvl w:val="0"/>
          <w:numId w:val="1"/>
        </w:numPr>
        <w:tabs>
          <w:tab w:val="clear" w:pos="720"/>
          <w:tab w:val="left" w:pos="567"/>
        </w:tabs>
        <w:spacing w:before="120"/>
        <w:ind w:left="0" w:firstLine="284"/>
        <w:jc w:val="both"/>
        <w:rPr>
          <w:sz w:val="24"/>
          <w:szCs w:val="24"/>
        </w:rPr>
      </w:pPr>
      <w:r w:rsidRPr="00787BF1">
        <w:rPr>
          <w:sz w:val="24"/>
          <w:szCs w:val="24"/>
        </w:rPr>
        <w:t xml:space="preserve">Nguyễn Mạnh Khải, </w:t>
      </w:r>
      <w:r w:rsidRPr="00787BF1">
        <w:rPr>
          <w:i/>
          <w:sz w:val="24"/>
          <w:szCs w:val="24"/>
        </w:rPr>
        <w:t xml:space="preserve">Giáo trình Pháp luật và chính sách môi trường, </w:t>
      </w:r>
      <w:r w:rsidRPr="00787BF1">
        <w:rPr>
          <w:sz w:val="24"/>
          <w:szCs w:val="24"/>
        </w:rPr>
        <w:t>Nxb. Đại học Quốc gia Hà Nội, Hà Nội, 2020.</w:t>
      </w:r>
    </w:p>
    <w:p w:rsidR="007F6411" w:rsidRPr="00787BF1" w:rsidRDefault="007F6411" w:rsidP="007F6411">
      <w:pPr>
        <w:pStyle w:val="ListParagraph"/>
        <w:numPr>
          <w:ilvl w:val="0"/>
          <w:numId w:val="1"/>
        </w:numPr>
        <w:tabs>
          <w:tab w:val="clear" w:pos="720"/>
          <w:tab w:val="left" w:pos="567"/>
        </w:tabs>
        <w:spacing w:before="120"/>
        <w:ind w:left="0" w:firstLine="284"/>
        <w:jc w:val="both"/>
        <w:rPr>
          <w:sz w:val="24"/>
          <w:szCs w:val="24"/>
        </w:rPr>
      </w:pPr>
      <w:r w:rsidRPr="00787BF1">
        <w:rPr>
          <w:sz w:val="24"/>
          <w:szCs w:val="24"/>
        </w:rPr>
        <w:t xml:space="preserve">Doãn Hồng Nhung </w:t>
      </w:r>
      <w:r>
        <w:rPr>
          <w:sz w:val="24"/>
          <w:szCs w:val="24"/>
        </w:rPr>
        <w:t>(chủ biên)</w:t>
      </w:r>
      <w:r w:rsidRPr="00787BF1">
        <w:rPr>
          <w:sz w:val="24"/>
          <w:szCs w:val="24"/>
        </w:rPr>
        <w:t xml:space="preserve">, </w:t>
      </w:r>
      <w:r w:rsidRPr="00787BF1">
        <w:rPr>
          <w:i/>
          <w:sz w:val="24"/>
          <w:szCs w:val="24"/>
        </w:rPr>
        <w:t>Pháp luật về bảo vệ môi trường ở Việt Nam,</w:t>
      </w:r>
      <w:r w:rsidRPr="00787BF1">
        <w:rPr>
          <w:sz w:val="24"/>
          <w:szCs w:val="24"/>
        </w:rPr>
        <w:t xml:space="preserve"> Nxb. Đại học Quốc gia Hà Nội, Hà Nội, 2018.</w:t>
      </w:r>
    </w:p>
    <w:p w:rsidR="007F6411" w:rsidRPr="00787BF1" w:rsidRDefault="007F6411" w:rsidP="007F6411">
      <w:pPr>
        <w:pStyle w:val="ListParagraph"/>
        <w:numPr>
          <w:ilvl w:val="0"/>
          <w:numId w:val="1"/>
        </w:numPr>
        <w:tabs>
          <w:tab w:val="clear" w:pos="720"/>
          <w:tab w:val="left" w:pos="567"/>
        </w:tabs>
        <w:spacing w:before="120"/>
        <w:ind w:left="0" w:firstLine="284"/>
        <w:jc w:val="both"/>
        <w:rPr>
          <w:sz w:val="24"/>
          <w:szCs w:val="24"/>
        </w:rPr>
      </w:pPr>
      <w:r w:rsidRPr="00787BF1">
        <w:rPr>
          <w:sz w:val="24"/>
          <w:szCs w:val="24"/>
        </w:rPr>
        <w:t>Trường Đại học Luật Hà Nội,</w:t>
      </w:r>
      <w:r w:rsidRPr="00787BF1">
        <w:rPr>
          <w:i/>
          <w:sz w:val="24"/>
          <w:szCs w:val="24"/>
        </w:rPr>
        <w:t xml:space="preserve"> Giáo trình Luật Môi trường</w:t>
      </w:r>
      <w:r w:rsidRPr="00787BF1">
        <w:rPr>
          <w:sz w:val="24"/>
          <w:szCs w:val="24"/>
        </w:rPr>
        <w:t xml:space="preserve">, </w:t>
      </w:r>
      <w:r>
        <w:rPr>
          <w:sz w:val="24"/>
          <w:szCs w:val="24"/>
        </w:rPr>
        <w:t>Nxb. Công an nhân dân</w:t>
      </w:r>
      <w:r w:rsidRPr="00787BF1">
        <w:rPr>
          <w:sz w:val="24"/>
          <w:szCs w:val="24"/>
        </w:rPr>
        <w:t xml:space="preserve">, Hà Nội, 2017. </w:t>
      </w:r>
    </w:p>
    <w:p w:rsidR="007F6411" w:rsidRPr="00787BF1" w:rsidRDefault="007F6411" w:rsidP="007F6411">
      <w:pPr>
        <w:pStyle w:val="ListParagraph"/>
        <w:numPr>
          <w:ilvl w:val="0"/>
          <w:numId w:val="1"/>
        </w:numPr>
        <w:tabs>
          <w:tab w:val="clear" w:pos="720"/>
          <w:tab w:val="left" w:pos="567"/>
        </w:tabs>
        <w:spacing w:before="120"/>
        <w:ind w:left="0" w:firstLine="284"/>
        <w:jc w:val="both"/>
        <w:rPr>
          <w:sz w:val="24"/>
          <w:szCs w:val="24"/>
        </w:rPr>
      </w:pPr>
      <w:r w:rsidRPr="00787BF1">
        <w:rPr>
          <w:sz w:val="24"/>
          <w:szCs w:val="24"/>
        </w:rPr>
        <w:t xml:space="preserve">Viện Khoa học pháp lý, </w:t>
      </w:r>
      <w:r w:rsidRPr="00787BF1">
        <w:rPr>
          <w:i/>
          <w:sz w:val="24"/>
          <w:szCs w:val="24"/>
        </w:rPr>
        <w:t>Pháp luật môi trường phục vụ phát triển bền vững ở Việt Nam,</w:t>
      </w:r>
      <w:r w:rsidRPr="00787BF1">
        <w:rPr>
          <w:sz w:val="24"/>
          <w:szCs w:val="24"/>
        </w:rPr>
        <w:t xml:space="preserve"> Nxb. Chính trị quốc gia Sự thật, Hà Nội, 2017.</w:t>
      </w:r>
    </w:p>
    <w:p w:rsidR="007F6411" w:rsidRPr="00787BF1" w:rsidRDefault="007F6411" w:rsidP="007F6411">
      <w:pPr>
        <w:pStyle w:val="ListParagraph"/>
        <w:numPr>
          <w:ilvl w:val="0"/>
          <w:numId w:val="1"/>
        </w:numPr>
        <w:tabs>
          <w:tab w:val="clear" w:pos="720"/>
          <w:tab w:val="left" w:pos="567"/>
        </w:tabs>
        <w:spacing w:before="120"/>
        <w:ind w:left="0" w:firstLine="284"/>
        <w:jc w:val="both"/>
        <w:rPr>
          <w:sz w:val="24"/>
          <w:szCs w:val="24"/>
        </w:rPr>
      </w:pPr>
      <w:r w:rsidRPr="00787BF1">
        <w:rPr>
          <w:sz w:val="24"/>
          <w:szCs w:val="24"/>
        </w:rPr>
        <w:t xml:space="preserve">Trường Đại học Luật Hà Nội, </w:t>
      </w:r>
      <w:r w:rsidRPr="00787BF1">
        <w:rPr>
          <w:i/>
          <w:sz w:val="24"/>
          <w:szCs w:val="24"/>
        </w:rPr>
        <w:t>Từ điển giải thích thuật ngữ luật học,</w:t>
      </w:r>
      <w:r w:rsidRPr="00787BF1">
        <w:rPr>
          <w:sz w:val="24"/>
          <w:szCs w:val="24"/>
        </w:rPr>
        <w:t xml:space="preserve"> </w:t>
      </w:r>
      <w:r>
        <w:rPr>
          <w:sz w:val="24"/>
          <w:szCs w:val="24"/>
        </w:rPr>
        <w:t>Nxb. Công an nhân dân</w:t>
      </w:r>
      <w:r w:rsidRPr="00787BF1">
        <w:rPr>
          <w:sz w:val="24"/>
          <w:szCs w:val="24"/>
        </w:rPr>
        <w:t>, Hà Nội, 2000.</w:t>
      </w:r>
    </w:p>
    <w:p w:rsidR="007F6411" w:rsidRPr="00787BF1" w:rsidRDefault="007F6411" w:rsidP="007F6411">
      <w:pPr>
        <w:pStyle w:val="ListParagraph"/>
        <w:numPr>
          <w:ilvl w:val="0"/>
          <w:numId w:val="1"/>
        </w:numPr>
        <w:tabs>
          <w:tab w:val="clear" w:pos="720"/>
          <w:tab w:val="left" w:pos="567"/>
        </w:tabs>
        <w:spacing w:before="120"/>
        <w:ind w:left="0" w:firstLine="284"/>
        <w:jc w:val="both"/>
        <w:rPr>
          <w:sz w:val="24"/>
          <w:szCs w:val="24"/>
        </w:rPr>
      </w:pPr>
      <w:r w:rsidRPr="00787BF1">
        <w:rPr>
          <w:sz w:val="24"/>
          <w:szCs w:val="24"/>
        </w:rPr>
        <w:t xml:space="preserve">G. Indira Priya Darsini, </w:t>
      </w:r>
      <w:r w:rsidRPr="00787BF1">
        <w:rPr>
          <w:i/>
          <w:sz w:val="24"/>
          <w:szCs w:val="24"/>
        </w:rPr>
        <w:t xml:space="preserve">Environmental Law and Sustainable Devolopment, </w:t>
      </w:r>
      <w:r w:rsidRPr="00787BF1">
        <w:rPr>
          <w:sz w:val="24"/>
          <w:szCs w:val="24"/>
        </w:rPr>
        <w:t>Regal Publications, 2010.</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D560D"/>
    <w:multiLevelType w:val="multilevel"/>
    <w:tmpl w:val="EA36C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11"/>
    <w:rsid w:val="001324E1"/>
    <w:rsid w:val="005630BE"/>
    <w:rsid w:val="00666C5C"/>
    <w:rsid w:val="007F6411"/>
    <w:rsid w:val="00A8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44EF3-AE94-4F35-B399-7F278BA2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411"/>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7F6411"/>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7F6411"/>
    <w:rPr>
      <w:rFonts w:eastAsia="Calibri"/>
      <w:b w:val="0"/>
      <w:iCs/>
    </w:rPr>
  </w:style>
  <w:style w:type="paragraph" w:styleId="ListParagraph">
    <w:name w:val="List Paragraph"/>
    <w:basedOn w:val="Normal"/>
    <w:uiPriority w:val="34"/>
    <w:qFormat/>
    <w:rsid w:val="007F6411"/>
    <w:pPr>
      <w:ind w:left="720"/>
      <w:contextualSpacing/>
    </w:pPr>
    <w:rPr>
      <w:rFonts w:eastAsia="Times New Roman"/>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2025-12-15T03:58:00Z</dcterms:created>
  <dcterms:modified xsi:type="dcterms:W3CDTF">2025-12-15T03:59:00Z</dcterms:modified>
</cp:coreProperties>
</file>